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附件：山东省高等学校国有资产最低使用年限表</w:t>
      </w:r>
    </w:p>
    <w:p>
      <w:pPr>
        <w:rPr>
          <w:rFonts w:hint="eastAsia"/>
          <w:b/>
          <w:bCs/>
          <w:sz w:val="24"/>
          <w:szCs w:val="32"/>
        </w:rPr>
      </w:pPr>
      <w:bookmarkStart w:id="0" w:name="_GoBack"/>
      <w:bookmarkEnd w:id="0"/>
    </w:p>
    <w:p>
      <w:pPr>
        <w:rPr>
          <w:rFonts w:hint="eastAsia"/>
          <w:sz w:val="24"/>
          <w:szCs w:val="32"/>
        </w:rPr>
      </w:pP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880"/>
        <w:gridCol w:w="1947"/>
        <w:gridCol w:w="22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国有资产类别</w:t>
            </w:r>
          </w:p>
        </w:tc>
        <w:tc>
          <w:tcPr>
            <w:tcW w:w="38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最低使用年限（年）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房屋及构筑物</w:t>
            </w:r>
          </w:p>
        </w:tc>
        <w:tc>
          <w:tcPr>
            <w:tcW w:w="1880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业务及管理用房</w:t>
            </w:r>
          </w:p>
        </w:tc>
        <w:tc>
          <w:tcPr>
            <w:tcW w:w="1947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钢结构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880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947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钢筋混凝土结构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880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947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砖混结构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880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947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砖木结构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简易房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房屋附属设施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构筑物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通用设备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车辆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图书档案设备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电气设备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雷达、无线电和卫星导航设备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广播、电视、电影设备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仪器仪表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电子和通信测量设备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计量标准器具及量具、衡器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专用设备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探矿、采矿、选矿和造块设备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石油天然气开采专用设备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石油和化学工业专用设备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炼焦和金属冶炼轧制设备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</w:tbl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4182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国有资产类别</w:t>
            </w:r>
          </w:p>
        </w:tc>
        <w:tc>
          <w:tcPr>
            <w:tcW w:w="418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最低使用年限（年）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专用设备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电力工业专用设备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非金属矿物制品工业专用设备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核工业专用设备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航空航天工业专用设备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工程机械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农业和林业机械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木材采集和加工设备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食品加工专用设备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饮料加工设备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烟草加工设备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粮油作物和饲料加工设备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纺织设备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缝纫、服饰、制革和毛皮加工设备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造纸和印刷机械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化学药品和中药专用设备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医疗设备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电工、电子专用生产设备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安全生产设备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邮政专用设备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环境污染防治设备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公安专用设备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水工机械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殡葬设备及用品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铁路运输设备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水上交通运输设备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航空器及其配套设备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专用仪器仪表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文艺设备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娱乐设备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家具、用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具及装具</w:t>
            </w: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182" w:type="dxa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用具、装具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</w:tbl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sz w:val="24"/>
          <w:szCs w:val="32"/>
        </w:rPr>
      </w:pPr>
    </w:p>
    <w:p>
      <w:pPr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9B0E3B"/>
    <w:rsid w:val="279B0E3B"/>
    <w:rsid w:val="3F5F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2022-03-16T01:58:00Z</dcterms:created>
  <dc:creator>晨辉</dc:creator>
  <cp:lastModifiedBy>晨辉</cp:lastModifiedBy>
  <dcterms:modified xsi:type="dcterms:W3CDTF">2022-03-16T02:02:56Z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6478F7AF80EA4FA1A4503FCB93910CCB</vt:lpwstr>
  </property>
</Properties>
</file>